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B25628">
        <w:rPr>
          <w:b w:val="0"/>
          <w:i w:val="0"/>
        </w:rPr>
        <w:t>5</w:t>
      </w:r>
      <w:bookmarkStart w:id="5" w:name="_GoBack"/>
      <w:bookmarkEnd w:id="5"/>
      <w:r>
        <w:rPr>
          <w:b w:val="0"/>
          <w:i w:val="0"/>
        </w:rPr>
        <w:t xml:space="preserve"> к</w:t>
      </w:r>
      <w:r w:rsidRPr="0017238E">
        <w:rPr>
          <w:b w:val="0"/>
          <w:i w:val="0"/>
        </w:rPr>
        <w:t xml:space="preserve"> </w:t>
      </w:r>
      <w:r>
        <w:rPr>
          <w:b w:val="0"/>
          <w:i w:val="0"/>
        </w:rPr>
        <w:t>д</w:t>
      </w:r>
      <w:r w:rsidRPr="0017238E">
        <w:rPr>
          <w:b w:val="0"/>
          <w:i w:val="0"/>
        </w:rPr>
        <w:t>оговору подряда №     /КС-2020 от «</w:t>
      </w:r>
      <w:r>
        <w:rPr>
          <w:b w:val="0"/>
          <w:i w:val="0"/>
        </w:rPr>
        <w:t xml:space="preserve">     </w:t>
      </w:r>
      <w:r w:rsidRPr="0017238E">
        <w:rPr>
          <w:b w:val="0"/>
          <w:i w:val="0"/>
        </w:rPr>
        <w:t>» _______________2020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6"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6"/>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proofErr w:type="spellStart"/>
            <w:r w:rsidRPr="00E74E90">
              <w:rPr>
                <w:sz w:val="22"/>
                <w:szCs w:val="22"/>
                <w:lang w:val="x-none"/>
              </w:rPr>
              <w:t>атериалов</w:t>
            </w:r>
            <w:proofErr w:type="spellEnd"/>
            <w:r w:rsidRPr="00E74E90">
              <w:rPr>
                <w:sz w:val="22"/>
                <w:szCs w:val="22"/>
                <w:lang w:val="x-none"/>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Pr="00E74E90" w:rsidRDefault="0017238E"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rsidTr="00476B05">
        <w:trPr>
          <w:trHeight w:val="1134"/>
        </w:trPr>
        <w:tc>
          <w:tcPr>
            <w:tcW w:w="4536" w:type="dxa"/>
          </w:tcPr>
          <w:p w:rsidR="0017238E" w:rsidRPr="00E74E90" w:rsidRDefault="0017238E" w:rsidP="00476B05">
            <w:pPr>
              <w:spacing w:before="120" w:after="120"/>
              <w:jc w:val="both"/>
              <w:rPr>
                <w:b/>
                <w:sz w:val="22"/>
                <w:szCs w:val="22"/>
              </w:rPr>
            </w:pPr>
            <w:r w:rsidRPr="00E74E90">
              <w:rPr>
                <w:b/>
                <w:sz w:val="22"/>
                <w:szCs w:val="22"/>
              </w:rPr>
              <w:t>Подрядчик: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rsidR="0017238E" w:rsidRPr="00E74E90" w:rsidRDefault="0017238E" w:rsidP="00476B05">
            <w:pPr>
              <w:spacing w:before="120" w:after="120"/>
              <w:jc w:val="both"/>
              <w:rPr>
                <w:b/>
                <w:sz w:val="22"/>
                <w:szCs w:val="22"/>
              </w:rPr>
            </w:pPr>
            <w:r w:rsidRPr="00E74E90">
              <w:rPr>
                <w:b/>
                <w:sz w:val="22"/>
                <w:szCs w:val="22"/>
              </w:rPr>
              <w:t>Заказчик: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r>
    </w:tbl>
    <w:p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17238E"/>
    <w:rsid w:val="005D26DD"/>
    <w:rsid w:val="00B25628"/>
    <w:rsid w:val="00B83857"/>
    <w:rsid w:val="00CA5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5A34E"/>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1721</Words>
  <Characters>9811</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3</cp:revision>
  <dcterms:created xsi:type="dcterms:W3CDTF">2020-05-27T08:43:00Z</dcterms:created>
  <dcterms:modified xsi:type="dcterms:W3CDTF">2020-08-07T07:41:00Z</dcterms:modified>
</cp:coreProperties>
</file>